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-67" w:hanging="141" w:hangingChars="59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附件3：</w:t>
      </w:r>
    </w:p>
    <w:p>
      <w:pPr>
        <w:spacing w:line="560" w:lineRule="exact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黑体" w:cs="Times New Roman"/>
          <w:sz w:val="36"/>
          <w:szCs w:val="36"/>
        </w:rPr>
        <w:t>201</w:t>
      </w:r>
      <w:r>
        <w:rPr>
          <w:rFonts w:hint="eastAsia" w:ascii="Times New Roman" w:hAnsi="Times New Roman" w:eastAsia="黑体" w:cs="Times New Roman"/>
          <w:sz w:val="36"/>
          <w:szCs w:val="36"/>
        </w:rPr>
        <w:t>9</w:t>
      </w:r>
      <w:r>
        <w:rPr>
          <w:rFonts w:ascii="Times New Roman" w:hAnsi="Times New Roman" w:eastAsia="黑体" w:cs="Times New Roman"/>
          <w:sz w:val="36"/>
          <w:szCs w:val="36"/>
        </w:rPr>
        <w:t>年辽宁省普通高等学校本科大学英语挑战赛</w:t>
      </w:r>
    </w:p>
    <w:p>
      <w:pPr>
        <w:spacing w:line="560" w:lineRule="exact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黑体" w:cs="Times New Roman"/>
          <w:sz w:val="36"/>
          <w:szCs w:val="36"/>
        </w:rPr>
        <w:t>阅读大赛细则</w:t>
      </w:r>
    </w:p>
    <w:p>
      <w:pPr>
        <w:spacing w:line="560" w:lineRule="exact"/>
        <w:jc w:val="center"/>
        <w:rPr>
          <w:rFonts w:ascii="Times New Roman" w:hAnsi="Times New Roman" w:eastAsia="黑体" w:cs="Times New Roman"/>
          <w:sz w:val="36"/>
          <w:szCs w:val="36"/>
        </w:rPr>
      </w:pPr>
    </w:p>
    <w:p>
      <w:pPr>
        <w:spacing w:after="240" w:line="560" w:lineRule="exact"/>
        <w:ind w:firstLine="643" w:firstLineChars="200"/>
        <w:rPr>
          <w:rFonts w:ascii="Times New Roman" w:hAnsi="Times New Roman" w:eastAsia="仿宋" w:cs="Times New Roman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一、竞赛规则</w:t>
      </w:r>
    </w:p>
    <w:p>
      <w:pPr>
        <w:widowControl/>
        <w:spacing w:beforeLines="50" w:after="240" w:line="560" w:lineRule="exact"/>
        <w:ind w:firstLine="420"/>
        <w:jc w:val="left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t>1. 初赛</w:t>
      </w:r>
    </w:p>
    <w:p>
      <w:pPr>
        <w:spacing w:after="240"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t>由各高校统一组织完成。参赛院校可自行组织初赛，也可参加由主办单位统一举办的线上初赛。外研社线上初赛</w:t>
      </w:r>
      <w:r>
        <w:rPr>
          <w:rFonts w:hint="eastAsia" w:ascii="Times New Roman" w:hAnsi="Times New Roman" w:eastAsia="仿宋" w:cs="Times New Roman"/>
          <w:sz w:val="28"/>
          <w:szCs w:val="32"/>
        </w:rPr>
        <w:t>时间请关注外研社Uchallenge官网</w:t>
      </w:r>
      <w:r>
        <w:rPr>
          <w:rFonts w:ascii="Times New Roman" w:hAnsi="Times New Roman" w:eastAsia="仿宋" w:cs="Times New Roman"/>
          <w:sz w:val="28"/>
          <w:szCs w:val="32"/>
        </w:rPr>
        <w:t>，各高校仅可选择一场进行初赛选拔，但所有参赛选手必须提前完成线上注册报名；线上初赛赛题由主办单位提供，题型包括Read and Know, Read and Reason, Read and Question 三个模块，时间为110分钟。考试发布由大赛专用赛事系统“iTEST大学外语测试与训练系统”支持。</w:t>
      </w:r>
    </w:p>
    <w:p>
      <w:pPr>
        <w:spacing w:after="240"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t>2. 复赛</w:t>
      </w:r>
    </w:p>
    <w:p>
      <w:pPr>
        <w:spacing w:after="240"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t>各初赛院校的特等奖获奖选手进入复赛。复赛包含客观题和主观题。客观题采用机器评阅；主观题考查读后论述，采用人工评阅。按照最终复赛成绩选拔前三名选手代表辽宁省分赛区参加“外研社杯”全国英语阅读大赛全国总决赛。</w:t>
      </w:r>
    </w:p>
    <w:p>
      <w:pPr>
        <w:spacing w:after="240"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32"/>
        </w:rPr>
      </w:pPr>
    </w:p>
    <w:p>
      <w:pPr>
        <w:spacing w:after="240"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32"/>
        </w:rPr>
      </w:pPr>
    </w:p>
    <w:p>
      <w:pPr>
        <w:widowControl/>
        <w:spacing w:beforeLines="50" w:after="240" w:line="560" w:lineRule="exact"/>
        <w:ind w:firstLine="643" w:firstLineChars="200"/>
        <w:jc w:val="left"/>
        <w:rPr>
          <w:rFonts w:ascii="Times New Roman" w:hAnsi="Times New Roman" w:eastAsia="仿宋" w:cs="Times New Roman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二、评审方式与评分标准</w:t>
      </w:r>
    </w:p>
    <w:p>
      <w:pPr>
        <w:widowControl/>
        <w:spacing w:beforeLines="50" w:after="240" w:line="560" w:lineRule="exact"/>
        <w:ind w:firstLine="560" w:firstLineChars="200"/>
        <w:jc w:val="left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t>1．初赛</w:t>
      </w:r>
    </w:p>
    <w:p>
      <w:pPr>
        <w:spacing w:after="240"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t>自行组织初赛的学校要确保试卷科学，评分标准须规范、公平、公正。线上初赛采用机器评阅方式，大赛指定系统为</w:t>
      </w:r>
      <w:r>
        <w:rPr>
          <w:rFonts w:ascii="Times New Roman" w:hAnsi="Times New Roman" w:eastAsia="仿宋" w:cs="Times New Roman"/>
          <w:spacing w:val="8"/>
          <w:sz w:val="28"/>
          <w:szCs w:val="28"/>
          <w:shd w:val="clear" w:color="auto" w:fill="FFFFFF"/>
        </w:rPr>
        <w:t>“iTEST大学外语测试与训练系统”</w:t>
      </w:r>
      <w:r>
        <w:rPr>
          <w:rFonts w:ascii="Times New Roman" w:hAnsi="Times New Roman" w:eastAsia="仿宋" w:cs="Times New Roman"/>
          <w:kern w:val="0"/>
          <w:sz w:val="22"/>
        </w:rPr>
        <w:t>。</w:t>
      </w:r>
    </w:p>
    <w:p>
      <w:pPr>
        <w:spacing w:after="240" w:line="560" w:lineRule="exact"/>
        <w:ind w:firstLine="506" w:firstLineChars="181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t>2．复赛</w:t>
      </w:r>
    </w:p>
    <w:p>
      <w:pPr>
        <w:spacing w:after="240" w:line="560" w:lineRule="exact"/>
        <w:ind w:firstLine="506" w:firstLineChars="181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t>复赛评委由复赛组委会拟定，人数不少于5人。中国籍评委须具有副教授以上职称，有英语阅读教学经验。每所学校（含复赛承办学校）只能有一人担任评委。</w:t>
      </w:r>
    </w:p>
    <w:p>
      <w:pPr>
        <w:spacing w:after="240"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t>客观题采用机器评阅；主观题考查读后论述，采用人工评阅。客观题与主观题分数相加得出每位选手总分。评分标准须规范、公平、公正。比赛前应召开评委会，讨论并贯彻评分标准。复赛组委会应保存原始评分记录，并接受选手和指导教师的查询。</w:t>
      </w:r>
    </w:p>
    <w:p>
      <w:pPr>
        <w:spacing w:after="240" w:line="560" w:lineRule="exact"/>
        <w:ind w:firstLine="560" w:firstLineChars="200"/>
        <w:jc w:val="left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t>主观题评分标准：</w:t>
      </w:r>
    </w:p>
    <w:tbl>
      <w:tblPr>
        <w:tblStyle w:val="10"/>
        <w:tblW w:w="712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65"/>
        <w:gridCol w:w="496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0" w:hRule="atLeast"/>
          <w:jc w:val="center"/>
        </w:trPr>
        <w:tc>
          <w:tcPr>
            <w:tcW w:w="21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after="0" w:line="400" w:lineRule="exac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  <w:sz w:val="28"/>
                <w:szCs w:val="32"/>
              </w:rPr>
              <w:t>Content/Ideas</w:t>
            </w:r>
          </w:p>
          <w:p>
            <w:pPr>
              <w:widowControl/>
              <w:spacing w:after="0" w:line="400" w:lineRule="exac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  <w:sz w:val="28"/>
                <w:szCs w:val="32"/>
              </w:rPr>
              <w:t>（60%）</w:t>
            </w:r>
          </w:p>
        </w:tc>
        <w:tc>
          <w:tcPr>
            <w:tcW w:w="49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after="0" w:line="400" w:lineRule="exact"/>
              <w:jc w:val="left"/>
              <w:rPr>
                <w:rFonts w:ascii="Times New Roman" w:hAnsi="Times New Roman" w:eastAsia="仿宋" w:cs="Times New Roman"/>
                <w:kern w:val="0"/>
                <w:sz w:val="28"/>
                <w:szCs w:val="32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32"/>
              </w:rPr>
              <w:t>1. Writing effectively addresses the topic and the task.</w:t>
            </w:r>
          </w:p>
          <w:p>
            <w:pPr>
              <w:widowControl/>
              <w:spacing w:after="0" w:line="400" w:lineRule="exact"/>
              <w:jc w:val="left"/>
              <w:rPr>
                <w:rFonts w:ascii="Times New Roman" w:hAnsi="Times New Roman" w:eastAsia="仿宋" w:cs="Times New Roman"/>
                <w:kern w:val="0"/>
                <w:sz w:val="28"/>
                <w:szCs w:val="32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32"/>
              </w:rPr>
              <w:t>2. Writing is based on the key points of information contained in the cited text.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5" w:hRule="atLeast"/>
          <w:jc w:val="center"/>
        </w:trPr>
        <w:tc>
          <w:tcPr>
            <w:tcW w:w="21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after="0"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kern w:val="0"/>
                <w:sz w:val="28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  <w:sz w:val="28"/>
                <w:szCs w:val="32"/>
              </w:rPr>
              <w:t>Organization/</w:t>
            </w:r>
          </w:p>
          <w:p>
            <w:pPr>
              <w:widowControl/>
              <w:spacing w:after="0" w:line="400" w:lineRule="exac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  <w:sz w:val="28"/>
                <w:szCs w:val="32"/>
              </w:rPr>
              <w:t>Development</w:t>
            </w:r>
          </w:p>
          <w:p>
            <w:pPr>
              <w:widowControl/>
              <w:spacing w:after="0" w:line="400" w:lineRule="exac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  <w:sz w:val="28"/>
                <w:szCs w:val="32"/>
              </w:rPr>
              <w:t>（20%）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after="0" w:line="400" w:lineRule="exact"/>
              <w:jc w:val="left"/>
              <w:rPr>
                <w:rFonts w:ascii="Times New Roman" w:hAnsi="Times New Roman" w:eastAsia="仿宋" w:cs="Times New Roman"/>
                <w:kern w:val="0"/>
                <w:sz w:val="28"/>
                <w:szCs w:val="32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32"/>
              </w:rPr>
              <w:t>1. Writing is well-organized and well-developed, using appropriate rhetorical devices.</w:t>
            </w:r>
          </w:p>
          <w:p>
            <w:pPr>
              <w:widowControl/>
              <w:spacing w:after="0" w:line="400" w:lineRule="exact"/>
              <w:jc w:val="left"/>
              <w:rPr>
                <w:rFonts w:ascii="Times New Roman" w:hAnsi="Times New Roman" w:eastAsia="仿宋" w:cs="Times New Roman"/>
                <w:kern w:val="0"/>
                <w:sz w:val="28"/>
                <w:szCs w:val="32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32"/>
              </w:rPr>
              <w:t>2. Writing is no less than 300 words.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0" w:hRule="atLeast"/>
          <w:jc w:val="center"/>
        </w:trPr>
        <w:tc>
          <w:tcPr>
            <w:tcW w:w="21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after="0" w:line="400" w:lineRule="exac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  <w:sz w:val="28"/>
                <w:szCs w:val="32"/>
              </w:rPr>
              <w:t>Language</w:t>
            </w:r>
          </w:p>
          <w:p>
            <w:pPr>
              <w:widowControl/>
              <w:spacing w:after="0" w:line="400" w:lineRule="exac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  <w:sz w:val="28"/>
                <w:szCs w:val="32"/>
              </w:rPr>
              <w:t>（20%）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after="0" w:line="400" w:lineRule="exact"/>
              <w:jc w:val="left"/>
              <w:rPr>
                <w:rFonts w:ascii="Times New Roman" w:hAnsi="Times New Roman" w:eastAsia="仿宋" w:cs="Times New Roman"/>
                <w:kern w:val="0"/>
                <w:sz w:val="28"/>
                <w:szCs w:val="32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32"/>
              </w:rPr>
              <w:t>1. Writing uses accurate spelling and correct grammar.</w:t>
            </w:r>
          </w:p>
          <w:p>
            <w:pPr>
              <w:widowControl/>
              <w:spacing w:after="0" w:line="400" w:lineRule="exact"/>
              <w:jc w:val="left"/>
              <w:rPr>
                <w:rFonts w:ascii="Times New Roman" w:hAnsi="Times New Roman" w:eastAsia="仿宋" w:cs="Times New Roman"/>
                <w:kern w:val="0"/>
                <w:sz w:val="28"/>
                <w:szCs w:val="32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32"/>
              </w:rPr>
              <w:t>2. Writing demonstrates syntactic variety, and effective use of vocabulary.</w:t>
            </w:r>
          </w:p>
        </w:tc>
      </w:tr>
    </w:tbl>
    <w:p>
      <w:pPr>
        <w:widowControl/>
        <w:spacing w:beforeLines="50" w:after="240" w:line="560" w:lineRule="exact"/>
        <w:ind w:firstLine="562" w:firstLineChars="200"/>
        <w:jc w:val="left"/>
        <w:rPr>
          <w:rFonts w:ascii="Times New Roman" w:hAnsi="Times New Roman" w:eastAsia="仿宋" w:cs="Times New Roman"/>
          <w:b/>
          <w:sz w:val="28"/>
          <w:szCs w:val="32"/>
        </w:rPr>
      </w:pPr>
    </w:p>
    <w:p>
      <w:pPr>
        <w:widowControl/>
        <w:spacing w:beforeLines="50" w:after="240" w:line="560" w:lineRule="exact"/>
        <w:ind w:firstLine="643" w:firstLineChars="200"/>
        <w:jc w:val="left"/>
        <w:rPr>
          <w:rFonts w:ascii="Times New Roman" w:hAnsi="Times New Roman" w:eastAsia="仿宋" w:cs="Times New Roman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三、奖项设置</w:t>
      </w:r>
    </w:p>
    <w:p>
      <w:pPr>
        <w:spacing w:after="240"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t>1．初赛</w:t>
      </w:r>
    </w:p>
    <w:p>
      <w:pPr>
        <w:spacing w:after="240"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t>初赛设置特等奖和一、二、三等奖。获得特等奖的选手可晋级省级复赛。</w:t>
      </w:r>
    </w:p>
    <w:p>
      <w:pPr>
        <w:spacing w:after="240"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t>2.复赛</w:t>
      </w:r>
    </w:p>
    <w:p>
      <w:pPr>
        <w:spacing w:after="240"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t>复赛设置特等奖和一、二、三等奖，其中特等奖3名，</w:t>
      </w:r>
      <w:r>
        <w:rPr>
          <w:rFonts w:ascii="Times New Roman" w:hAnsi="Times New Roman" w:eastAsia="仿宋" w:cs="Times New Roman"/>
          <w:sz w:val="28"/>
          <w:szCs w:val="28"/>
        </w:rPr>
        <w:t>一等奖、二等奖、三等奖获奖</w:t>
      </w:r>
      <w:r>
        <w:rPr>
          <w:rFonts w:ascii="Times New Roman" w:hAnsi="Times New Roman" w:eastAsia="仿宋" w:cs="Times New Roman"/>
          <w:sz w:val="28"/>
          <w:szCs w:val="32"/>
        </w:rPr>
        <w:t>人数分别占参赛选手总数的10%、20%、30%。所有获奖选手将获得由大赛组委会颁发的获奖证书。特等奖获奖选手代表我省参加全国决赛。所有获奖选手都将获得由复赛组委会颁发的获奖证书及奖品。获奖选手的指导教师相应获得指导教师特等奖和指导教师一、二、三等奖。</w:t>
      </w:r>
    </w:p>
    <w:p>
      <w:pPr>
        <w:widowControl/>
        <w:spacing w:beforeLines="50" w:after="240" w:line="560" w:lineRule="exact"/>
        <w:ind w:firstLine="643" w:firstLineChars="200"/>
        <w:jc w:val="left"/>
        <w:rPr>
          <w:rFonts w:ascii="Times New Roman" w:hAnsi="Times New Roman" w:eastAsia="仿宋" w:cs="Times New Roman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四、竞赛结果公示</w:t>
      </w:r>
      <w:bookmarkStart w:id="0" w:name="_GoBack"/>
      <w:bookmarkEnd w:id="0"/>
    </w:p>
    <w:p>
      <w:pPr>
        <w:spacing w:after="240"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t>复赛评委在选手结束比赛后进入评委专用场地评阅选手试卷，并于颁奖典礼公布选手成绩。获奖名单将在辽宁省教育厅本科教学网站进行公示。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ascii="Times New Roman" w:hAnsi="Times New Roman" w:eastAsia="宋体" w:cs="Times New Roman"/>
        <w:sz w:val="24"/>
        <w:szCs w:val="24"/>
      </w:rPr>
    </w:pPr>
    <w:r>
      <w:rPr>
        <w:rFonts w:ascii="Times New Roman" w:hAnsi="Times New Roman" w:eastAsia="宋体" w:cs="Times New Roman"/>
        <w:sz w:val="24"/>
        <w:szCs w:val="24"/>
      </w:rPr>
      <w:fldChar w:fldCharType="begin"/>
    </w:r>
    <w:r>
      <w:rPr>
        <w:rFonts w:ascii="Times New Roman" w:hAnsi="Times New Roman" w:eastAsia="宋体" w:cs="Times New Roman"/>
        <w:sz w:val="24"/>
        <w:szCs w:val="24"/>
      </w:rPr>
      <w:instrText xml:space="preserve"> PAGE  \* MERGEFORMAT </w:instrText>
    </w:r>
    <w:r>
      <w:rPr>
        <w:rFonts w:ascii="Times New Roman" w:hAnsi="Times New Roman" w:eastAsia="宋体" w:cs="Times New Roman"/>
        <w:sz w:val="24"/>
        <w:szCs w:val="24"/>
      </w:rPr>
      <w:fldChar w:fldCharType="separate"/>
    </w:r>
    <w:r>
      <w:rPr>
        <w:rFonts w:ascii="Times New Roman" w:hAnsi="Times New Roman" w:eastAsia="宋体" w:cs="Times New Roman"/>
        <w:sz w:val="24"/>
        <w:szCs w:val="24"/>
      </w:rPr>
      <w:t>1</w:t>
    </w:r>
    <w:r>
      <w:rPr>
        <w:rFonts w:ascii="Times New Roman" w:hAnsi="Times New Roman" w:eastAsia="宋体" w:cs="Times New Roman"/>
        <w:sz w:val="24"/>
        <w:szCs w:val="24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05F650F"/>
    <w:rsid w:val="0000657E"/>
    <w:rsid w:val="00037BFF"/>
    <w:rsid w:val="00044BC3"/>
    <w:rsid w:val="00064736"/>
    <w:rsid w:val="000A7CF3"/>
    <w:rsid w:val="000D367A"/>
    <w:rsid w:val="000D3864"/>
    <w:rsid w:val="000E0C85"/>
    <w:rsid w:val="000E7BFE"/>
    <w:rsid w:val="00122D15"/>
    <w:rsid w:val="001429A6"/>
    <w:rsid w:val="002008BD"/>
    <w:rsid w:val="00240575"/>
    <w:rsid w:val="00244FD6"/>
    <w:rsid w:val="00296369"/>
    <w:rsid w:val="002F2EF6"/>
    <w:rsid w:val="003B4B36"/>
    <w:rsid w:val="00443DB3"/>
    <w:rsid w:val="004A3C60"/>
    <w:rsid w:val="004E26FC"/>
    <w:rsid w:val="005F4B9C"/>
    <w:rsid w:val="006567F0"/>
    <w:rsid w:val="006708DA"/>
    <w:rsid w:val="00687D63"/>
    <w:rsid w:val="006C42DD"/>
    <w:rsid w:val="006E2172"/>
    <w:rsid w:val="007110D1"/>
    <w:rsid w:val="00750238"/>
    <w:rsid w:val="007B3B76"/>
    <w:rsid w:val="007E62D5"/>
    <w:rsid w:val="007F7305"/>
    <w:rsid w:val="008A1D79"/>
    <w:rsid w:val="008B5CEB"/>
    <w:rsid w:val="00900CCF"/>
    <w:rsid w:val="00955EA9"/>
    <w:rsid w:val="00990F67"/>
    <w:rsid w:val="00AA669C"/>
    <w:rsid w:val="00AE38F4"/>
    <w:rsid w:val="00B55115"/>
    <w:rsid w:val="00B61824"/>
    <w:rsid w:val="00BB03DC"/>
    <w:rsid w:val="00BD4638"/>
    <w:rsid w:val="00BD4F5F"/>
    <w:rsid w:val="00C17C07"/>
    <w:rsid w:val="00C42728"/>
    <w:rsid w:val="00C653F0"/>
    <w:rsid w:val="00C87E56"/>
    <w:rsid w:val="00CA7B47"/>
    <w:rsid w:val="00D03156"/>
    <w:rsid w:val="00D33878"/>
    <w:rsid w:val="00D63CD5"/>
    <w:rsid w:val="00D73933"/>
    <w:rsid w:val="00DE3114"/>
    <w:rsid w:val="00E51A28"/>
    <w:rsid w:val="00ED7504"/>
    <w:rsid w:val="00EE7CE8"/>
    <w:rsid w:val="00F74ECC"/>
    <w:rsid w:val="00FC257D"/>
    <w:rsid w:val="00FE0CE0"/>
    <w:rsid w:val="00FE619E"/>
    <w:rsid w:val="00FF3AAF"/>
    <w:rsid w:val="0A1E302C"/>
    <w:rsid w:val="0CCD0D40"/>
    <w:rsid w:val="18AF617B"/>
    <w:rsid w:val="21352CA7"/>
    <w:rsid w:val="2AF40D41"/>
    <w:rsid w:val="3A7F3B07"/>
    <w:rsid w:val="3FC043A9"/>
    <w:rsid w:val="572F6806"/>
    <w:rsid w:val="5AD67EBB"/>
    <w:rsid w:val="705F65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5"/>
    <w:qFormat/>
    <w:uiPriority w:val="0"/>
    <w:rPr>
      <w:b/>
      <w:bCs/>
    </w:rPr>
  </w:style>
  <w:style w:type="paragraph" w:styleId="3">
    <w:name w:val="annotation text"/>
    <w:basedOn w:val="1"/>
    <w:link w:val="14"/>
    <w:qFormat/>
    <w:uiPriority w:val="0"/>
    <w:pPr>
      <w:spacing w:line="240" w:lineRule="auto"/>
    </w:pPr>
    <w:rPr>
      <w:sz w:val="20"/>
      <w:szCs w:val="20"/>
    </w:rPr>
  </w:style>
  <w:style w:type="paragraph" w:styleId="4">
    <w:name w:val="Balloon Text"/>
    <w:basedOn w:val="1"/>
    <w:link w:val="16"/>
    <w:qFormat/>
    <w:uiPriority w:val="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563C1" w:themeColor="hyperlink"/>
      <w:u w:val="single"/>
    </w:rPr>
  </w:style>
  <w:style w:type="character" w:styleId="9">
    <w:name w:val="annotation reference"/>
    <w:basedOn w:val="7"/>
    <w:qFormat/>
    <w:uiPriority w:val="0"/>
    <w:rPr>
      <w:sz w:val="16"/>
      <w:szCs w:val="16"/>
    </w:rPr>
  </w:style>
  <w:style w:type="character" w:customStyle="1" w:styleId="11">
    <w:name w:val="页眉 Char"/>
    <w:basedOn w:val="7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7"/>
    <w:link w:val="5"/>
    <w:qFormat/>
    <w:uiPriority w:val="0"/>
    <w:rPr>
      <w:kern w:val="2"/>
      <w:sz w:val="18"/>
      <w:szCs w:val="18"/>
    </w:rPr>
  </w:style>
  <w:style w:type="paragraph" w:customStyle="1" w:styleId="13">
    <w:name w:val="List Paragraph1"/>
    <w:basedOn w:val="1"/>
    <w:unhideWhenUsed/>
    <w:qFormat/>
    <w:uiPriority w:val="99"/>
    <w:pPr>
      <w:ind w:firstLine="420" w:firstLineChars="200"/>
    </w:pPr>
  </w:style>
  <w:style w:type="character" w:customStyle="1" w:styleId="14">
    <w:name w:val="批注文字 Char"/>
    <w:basedOn w:val="7"/>
    <w:link w:val="3"/>
    <w:qFormat/>
    <w:uiPriority w:val="0"/>
    <w:rPr>
      <w:kern w:val="2"/>
    </w:rPr>
  </w:style>
  <w:style w:type="character" w:customStyle="1" w:styleId="15">
    <w:name w:val="批注主题 Char"/>
    <w:basedOn w:val="14"/>
    <w:link w:val="2"/>
    <w:qFormat/>
    <w:uiPriority w:val="0"/>
    <w:rPr>
      <w:b/>
      <w:bCs/>
      <w:kern w:val="2"/>
    </w:rPr>
  </w:style>
  <w:style w:type="character" w:customStyle="1" w:styleId="16">
    <w:name w:val="批注框文本 Char"/>
    <w:basedOn w:val="7"/>
    <w:link w:val="4"/>
    <w:qFormat/>
    <w:uiPriority w:val="0"/>
    <w:rPr>
      <w:rFonts w:ascii="Tahoma" w:hAnsi="Tahoma" w:cs="Tahoma"/>
      <w:kern w:val="2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辽宁大学</Company>
  <Pages>3</Pages>
  <Words>211</Words>
  <Characters>1209</Characters>
  <Lines>10</Lines>
  <Paragraphs>2</Paragraphs>
  <TotalTime>15</TotalTime>
  <ScaleCrop>false</ScaleCrop>
  <LinksUpToDate>false</LinksUpToDate>
  <CharactersWithSpaces>1418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2017-06-29T04:58:00Z</dcterms:created>
  <dc:creator>hgh</dc:creator>
  <cp:lastModifiedBy>牙呀</cp:lastModifiedBy>
  <dcterms:modified xsi:type="dcterms:W3CDTF">2019-01-15T09:05:44Z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